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2023</w:t>
      </w:r>
      <w:r>
        <w:rPr>
          <w:rFonts w:hint="eastAsia" w:ascii="宋体" w:hAnsi="宋体"/>
          <w:b/>
          <w:sz w:val="44"/>
          <w:szCs w:val="44"/>
        </w:rPr>
        <w:t>年驻马店市关心下一代工作服务中心</w:t>
      </w:r>
    </w:p>
    <w:p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单位预算公开说明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驻马店市关心下一代工作服务中心单位概况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驻马店市关心下一代工作服务中心单位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附件：驻马店市关心下一代工作服务中心单位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年度单位预算表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部门收支预算表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部门收入预算表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部门支出预算表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八、一般公共预算“三公”经费预算表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九、政府性基金支出预算表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十、项目支出预算表</w:t>
      </w:r>
    </w:p>
    <w:p>
      <w:pPr>
        <w:widowControl/>
        <w:spacing w:line="600" w:lineRule="exact"/>
        <w:ind w:firstLine="640" w:firstLineChars="200"/>
        <w:rPr>
          <w:rFonts w:hint="default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十一、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本级部门预算项目绩效目标汇总表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驻马店市关心下一代工作服务中心单位概况</w:t>
      </w:r>
    </w:p>
    <w:p>
      <w:pPr>
        <w:spacing w:line="600" w:lineRule="exact"/>
      </w:pPr>
      <w:r>
        <w:t> 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驻马店市关心下一代工作服务中心单位主要职能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Times New Roman"/>
          <w:kern w:val="0"/>
          <w:sz w:val="32"/>
          <w:szCs w:val="32"/>
        </w:rPr>
      </w:pPr>
      <w:r>
        <w:rPr>
          <w:rFonts w:hint="eastAsia" w:ascii="华文仿宋" w:hAnsi="华文仿宋" w:eastAsia="华文仿宋" w:cs="Times New Roman"/>
          <w:kern w:val="0"/>
          <w:sz w:val="32"/>
          <w:szCs w:val="32"/>
        </w:rPr>
        <w:t>驻马店市关心下一代工作服务中心单位主要职能：为老同志关心下一代工作提供服务保障。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二、预算单位构成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  <w:r>
        <w:rPr>
          <w:rFonts w:hint="eastAsia" w:ascii="华文仿宋" w:hAnsi="华文仿宋" w:eastAsia="华文仿宋" w:cs="Times New Roman"/>
          <w:kern w:val="0"/>
          <w:sz w:val="32"/>
          <w:szCs w:val="32"/>
        </w:rPr>
        <w:t>我单位隶属于中共驻马店市委老干部局，机构规格相当于正科级，事业编制</w:t>
      </w:r>
      <w:r>
        <w:rPr>
          <w:rFonts w:ascii="华文仿宋" w:hAnsi="华文仿宋" w:eastAsia="华文仿宋" w:cs="Times New Roman"/>
          <w:kern w:val="0"/>
          <w:sz w:val="32"/>
          <w:szCs w:val="32"/>
        </w:rPr>
        <w:t>6</w:t>
      </w:r>
      <w:r>
        <w:rPr>
          <w:rFonts w:hint="eastAsia" w:ascii="华文仿宋" w:hAnsi="华文仿宋" w:eastAsia="华文仿宋" w:cs="Times New Roman"/>
          <w:kern w:val="0"/>
          <w:sz w:val="32"/>
          <w:szCs w:val="32"/>
        </w:rPr>
        <w:t>名，其中主任</w:t>
      </w:r>
      <w:r>
        <w:rPr>
          <w:rFonts w:ascii="华文仿宋" w:hAnsi="华文仿宋" w:eastAsia="华文仿宋" w:cs="Times New Roman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Times New Roman"/>
          <w:kern w:val="0"/>
          <w:sz w:val="32"/>
          <w:szCs w:val="32"/>
        </w:rPr>
        <w:t>名，未设置内设机构。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驻马店市关心下一代工作服务中心单位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ascii="仿宋" w:hAnsi="仿宋" w:eastAsia="仿宋" w:cs="仿宋_GB2312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_GB2312"/>
          <w:color w:val="000000"/>
          <w:sz w:val="32"/>
          <w:szCs w:val="32"/>
        </w:rPr>
        <w:t>.2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ascii="仿宋" w:hAnsi="仿宋" w:eastAsia="仿宋" w:cs="仿宋_GB2312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_GB2312"/>
          <w:color w:val="000000"/>
          <w:sz w:val="32"/>
          <w:szCs w:val="32"/>
        </w:rPr>
        <w:t>.2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5.44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。主要原因是人员经费增加。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ascii="仿宋" w:hAnsi="仿宋" w:eastAsia="仿宋" w:cs="仿宋_GB2312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_GB2312"/>
          <w:color w:val="000000"/>
          <w:sz w:val="32"/>
          <w:szCs w:val="32"/>
        </w:rPr>
        <w:t>.2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ascii="仿宋" w:hAnsi="仿宋" w:eastAsia="仿宋" w:cs="仿宋_GB2312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_GB2312"/>
          <w:color w:val="000000"/>
          <w:sz w:val="32"/>
          <w:szCs w:val="32"/>
        </w:rPr>
        <w:t>.2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 xml:space="preserve">    </w:t>
      </w: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ascii="仿宋" w:hAnsi="仿宋" w:eastAsia="仿宋" w:cs="仿宋_GB2312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_GB2312"/>
          <w:color w:val="000000"/>
          <w:sz w:val="32"/>
          <w:szCs w:val="32"/>
        </w:rPr>
        <w:t>.2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8.45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1.55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ascii="仿宋" w:hAnsi="仿宋" w:eastAsia="仿宋" w:cs="仿宋_GB2312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_GB2312"/>
          <w:color w:val="000000"/>
          <w:sz w:val="32"/>
          <w:szCs w:val="32"/>
        </w:rPr>
        <w:t>.2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5.44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人员经费增加。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华文仿宋" w:hAnsi="华文仿宋" w:eastAsia="仿宋" w:cs="Times New Roman"/>
          <w:sz w:val="32"/>
          <w:szCs w:val="32"/>
        </w:rPr>
        <w:t>我单位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ascii="仿宋" w:hAnsi="仿宋" w:eastAsia="仿宋" w:cs="仿宋_GB2312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_GB2312"/>
          <w:color w:val="000000"/>
          <w:sz w:val="32"/>
          <w:szCs w:val="32"/>
        </w:rPr>
        <w:t>.2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ascii="仿宋" w:hAnsi="仿宋" w:eastAsia="仿宋" w:cs="仿宋_GB2312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6.68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ascii="仿宋" w:hAnsi="仿宋" w:eastAsia="仿宋" w:cs="仿宋_GB2312"/>
          <w:color w:val="000000"/>
          <w:sz w:val="32"/>
          <w:szCs w:val="32"/>
        </w:rPr>
        <w:t>8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0.2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4.69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1.38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4.88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3.99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6.86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47.55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42.06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5.49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</w:t>
      </w:r>
      <w:r>
        <w:rPr>
          <w:rFonts w:ascii="仿宋" w:hAnsi="仿宋" w:eastAsia="仿宋"/>
          <w:sz w:val="32"/>
          <w:szCs w:val="32"/>
        </w:rPr>
        <w:t>&lt;</w:t>
      </w:r>
      <w:r>
        <w:rPr>
          <w:rFonts w:hint="eastAsia" w:ascii="仿宋" w:hAnsi="仿宋" w:eastAsia="仿宋"/>
          <w:sz w:val="32"/>
          <w:szCs w:val="32"/>
        </w:rPr>
        <w:t>支出经济分类科目改革方案</w:t>
      </w:r>
      <w:r>
        <w:rPr>
          <w:rFonts w:ascii="仿宋" w:hAnsi="仿宋" w:eastAsia="仿宋"/>
          <w:sz w:val="32"/>
          <w:szCs w:val="32"/>
        </w:rPr>
        <w:t>&gt;</w:t>
      </w:r>
      <w:r>
        <w:rPr>
          <w:rFonts w:hint="eastAsia" w:ascii="仿宋" w:hAnsi="仿宋" w:eastAsia="仿宋"/>
          <w:sz w:val="32"/>
          <w:szCs w:val="32"/>
        </w:rPr>
        <w:t>的通知》（财预〔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98</w:t>
      </w:r>
      <w:r>
        <w:rPr>
          <w:rFonts w:hint="eastAsia" w:ascii="仿宋" w:hAnsi="仿宋" w:eastAsia="仿宋"/>
          <w:sz w:val="32"/>
          <w:szCs w:val="32"/>
        </w:rPr>
        <w:t>号）要求，从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ascii="仿宋" w:hAnsi="仿宋" w:eastAsia="仿宋"/>
          <w:sz w:val="32"/>
          <w:szCs w:val="32"/>
        </w:rPr>
        <w:t>0.8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年“三公”经费支出预算数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ascii="仿宋" w:hAnsi="仿宋" w:eastAsia="仿宋"/>
          <w:b/>
          <w:sz w:val="32"/>
          <w:szCs w:val="32"/>
        </w:rPr>
        <w:t>0.8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，主要用于开展工作所需公务用车的燃料费、维修费、过路过桥费、保险费、安全奖励费用等支出。其中公务用车购置费预算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万元。公务用车运行维护费预算为</w:t>
      </w:r>
      <w:r>
        <w:rPr>
          <w:rFonts w:ascii="仿宋" w:hAnsi="仿宋" w:eastAsia="仿宋"/>
          <w:sz w:val="32"/>
          <w:szCs w:val="32"/>
        </w:rPr>
        <w:t>0.8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年没有安排公务接待费用的收入和支出预算。预算数与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（一）机关（事业）单位机构运转经费支出情况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华文仿宋" w:hAnsi="华文仿宋" w:eastAsia="仿宋" w:cs="Times New Roman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ascii="仿宋" w:hAnsi="仿宋" w:eastAsia="仿宋"/>
          <w:sz w:val="32"/>
          <w:szCs w:val="32"/>
        </w:rPr>
        <w:t>5.4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年预算项目均按要求编制了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年期末，我单位共有车辆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我单位无负责参与管理的专项转移支付项目。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</w:t>
      </w:r>
      <w:r>
        <w:rPr>
          <w:rFonts w:ascii="仿宋" w:hAnsi="仿宋" w:eastAsia="仿宋" w:cs="仿宋_GB2312"/>
          <w:sz w:val="32"/>
          <w:szCs w:val="32"/>
        </w:rPr>
        <w:t>:</w:t>
      </w:r>
      <w:r>
        <w:rPr>
          <w:rFonts w:hint="eastAsia" w:ascii="仿宋" w:hAnsi="仿宋" w:eastAsia="仿宋" w:cs="仿宋_GB2312"/>
          <w:sz w:val="32"/>
          <w:szCs w:val="32"/>
        </w:rPr>
        <w:t>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驻马店市关心下一代工作服务中心单位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A1C3C"/>
    <w:multiLevelType w:val="singleLevel"/>
    <w:tmpl w:val="44EA1C3C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U0ODcwZmMxNmE2ZjVmZGQ3MWZiZDBiM2IyMjU0NmMifQ=="/>
  </w:docVars>
  <w:rsids>
    <w:rsidRoot w:val="00DB6E0A"/>
    <w:rsid w:val="00024F6B"/>
    <w:rsid w:val="000400EF"/>
    <w:rsid w:val="00046304"/>
    <w:rsid w:val="00060219"/>
    <w:rsid w:val="00081A39"/>
    <w:rsid w:val="00082E97"/>
    <w:rsid w:val="00092293"/>
    <w:rsid w:val="000A57D3"/>
    <w:rsid w:val="000A793C"/>
    <w:rsid w:val="000B2C71"/>
    <w:rsid w:val="000D2EF0"/>
    <w:rsid w:val="000D65ED"/>
    <w:rsid w:val="000E1E98"/>
    <w:rsid w:val="000F00F0"/>
    <w:rsid w:val="000F07CF"/>
    <w:rsid w:val="00103B01"/>
    <w:rsid w:val="00130D39"/>
    <w:rsid w:val="00132510"/>
    <w:rsid w:val="00133F87"/>
    <w:rsid w:val="00135319"/>
    <w:rsid w:val="00157DC9"/>
    <w:rsid w:val="00164490"/>
    <w:rsid w:val="0016485B"/>
    <w:rsid w:val="00174BB7"/>
    <w:rsid w:val="001826E6"/>
    <w:rsid w:val="00197F39"/>
    <w:rsid w:val="001D2D19"/>
    <w:rsid w:val="001D3474"/>
    <w:rsid w:val="001F0097"/>
    <w:rsid w:val="001F0DC7"/>
    <w:rsid w:val="001F3EA8"/>
    <w:rsid w:val="002122D3"/>
    <w:rsid w:val="00265D02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5FB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C71D0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07F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6C4154"/>
    <w:rsid w:val="006C5507"/>
    <w:rsid w:val="006F4F1F"/>
    <w:rsid w:val="006F5F09"/>
    <w:rsid w:val="00700239"/>
    <w:rsid w:val="00700B9A"/>
    <w:rsid w:val="007136D4"/>
    <w:rsid w:val="0073244D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74DFA"/>
    <w:rsid w:val="00987F87"/>
    <w:rsid w:val="0099182F"/>
    <w:rsid w:val="009B17AE"/>
    <w:rsid w:val="009B1DCD"/>
    <w:rsid w:val="00A0087B"/>
    <w:rsid w:val="00A0547F"/>
    <w:rsid w:val="00A111CB"/>
    <w:rsid w:val="00A167D2"/>
    <w:rsid w:val="00A51477"/>
    <w:rsid w:val="00A6587F"/>
    <w:rsid w:val="00A732B7"/>
    <w:rsid w:val="00A75D9C"/>
    <w:rsid w:val="00A83E1B"/>
    <w:rsid w:val="00AA09FD"/>
    <w:rsid w:val="00AB26EC"/>
    <w:rsid w:val="00AD30A5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16"/>
    <w:rsid w:val="00BB32E4"/>
    <w:rsid w:val="00BB5328"/>
    <w:rsid w:val="00BB71F0"/>
    <w:rsid w:val="00BC25A8"/>
    <w:rsid w:val="00BC482D"/>
    <w:rsid w:val="00BD3254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0E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0FF0532"/>
    <w:rsid w:val="06975A53"/>
    <w:rsid w:val="0CB32593"/>
    <w:rsid w:val="0F9E15B0"/>
    <w:rsid w:val="10204337"/>
    <w:rsid w:val="120F6B4F"/>
    <w:rsid w:val="1488753C"/>
    <w:rsid w:val="1BC17CE4"/>
    <w:rsid w:val="1EFB577C"/>
    <w:rsid w:val="25EC10E2"/>
    <w:rsid w:val="33312B4E"/>
    <w:rsid w:val="34787E99"/>
    <w:rsid w:val="35034A9D"/>
    <w:rsid w:val="37AE7871"/>
    <w:rsid w:val="42BB0EC4"/>
    <w:rsid w:val="43E3440D"/>
    <w:rsid w:val="4C2827E2"/>
    <w:rsid w:val="516C3C0C"/>
    <w:rsid w:val="525654A0"/>
    <w:rsid w:val="571023DD"/>
    <w:rsid w:val="589445C0"/>
    <w:rsid w:val="684A26C4"/>
    <w:rsid w:val="6CDF255A"/>
    <w:rsid w:val="6E5D4315"/>
    <w:rsid w:val="70932F49"/>
    <w:rsid w:val="749467D7"/>
    <w:rsid w:val="785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cs="Times New Roman"/>
      <w:sz w:val="2"/>
      <w:szCs w:val="2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Calibri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Calibri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9</Pages>
  <Words>2974</Words>
  <Characters>3168</Characters>
  <Lines>0</Lines>
  <Paragraphs>0</Paragraphs>
  <TotalTime>1</TotalTime>
  <ScaleCrop>false</ScaleCrop>
  <LinksUpToDate>false</LinksUpToDate>
  <CharactersWithSpaces>3192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猎人</cp:lastModifiedBy>
  <cp:lastPrinted>2018-03-22T04:03:00Z</cp:lastPrinted>
  <dcterms:modified xsi:type="dcterms:W3CDTF">2023-02-01T04:38:54Z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5A1A92A6A7D647D089DAECF2F2B26C99</vt:lpwstr>
  </property>
</Properties>
</file>